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11B" w:rsidRPr="00604A0A" w:rsidRDefault="00876FA1">
      <w:pPr>
        <w:rPr>
          <w:b/>
          <w:color w:val="002060"/>
          <w:sz w:val="44"/>
          <w:lang w:val="en-US"/>
        </w:rPr>
      </w:pPr>
      <w:r w:rsidRPr="00604A0A">
        <w:rPr>
          <w:b/>
          <w:color w:val="002060"/>
          <w:sz w:val="44"/>
          <w:lang w:val="en-US"/>
        </w:rPr>
        <w:t>Report to IALA secretariat</w:t>
      </w:r>
      <w:bookmarkStart w:id="0" w:name="_GoBack"/>
      <w:bookmarkEnd w:id="0"/>
    </w:p>
    <w:p w:rsidR="00876FA1" w:rsidRPr="00604A0A" w:rsidRDefault="00876FA1">
      <w:pPr>
        <w:rPr>
          <w:lang w:val="en-US"/>
        </w:rPr>
      </w:pPr>
    </w:p>
    <w:p w:rsidR="00876FA1" w:rsidRPr="00604A0A" w:rsidRDefault="00876FA1" w:rsidP="00876FA1">
      <w:pPr>
        <w:spacing w:after="0"/>
        <w:rPr>
          <w:b/>
          <w:color w:val="002060"/>
          <w:lang w:val="en-US"/>
        </w:rPr>
      </w:pPr>
      <w:r w:rsidRPr="00604A0A">
        <w:rPr>
          <w:b/>
          <w:color w:val="002060"/>
          <w:lang w:val="en-US"/>
        </w:rPr>
        <w:t>Meeting S100WG, Genoa 15-18. March 2017</w:t>
      </w:r>
    </w:p>
    <w:p w:rsidR="004A7597" w:rsidRPr="004A7597" w:rsidRDefault="004A7597" w:rsidP="00876FA1">
      <w:pPr>
        <w:spacing w:after="0"/>
        <w:rPr>
          <w:b/>
          <w:color w:val="002060"/>
          <w:lang w:val="en-US"/>
        </w:rPr>
      </w:pPr>
      <w:r w:rsidRPr="004A7597">
        <w:rPr>
          <w:b/>
          <w:color w:val="002060"/>
          <w:lang w:val="en-US"/>
        </w:rPr>
        <w:t xml:space="preserve">Chair:  Julia Powell NOAA, </w:t>
      </w:r>
      <w:proofErr w:type="spellStart"/>
      <w:r w:rsidRPr="004A7597">
        <w:rPr>
          <w:b/>
          <w:color w:val="002060"/>
          <w:lang w:val="en-US"/>
        </w:rPr>
        <w:t>WChair</w:t>
      </w:r>
      <w:proofErr w:type="spellEnd"/>
      <w:r w:rsidRPr="004A7597">
        <w:rPr>
          <w:b/>
          <w:color w:val="002060"/>
          <w:lang w:val="en-US"/>
        </w:rPr>
        <w:t>:  vacant</w:t>
      </w:r>
    </w:p>
    <w:p w:rsidR="00876FA1" w:rsidRPr="004A7597" w:rsidRDefault="00876FA1" w:rsidP="00876FA1">
      <w:pPr>
        <w:spacing w:after="0"/>
        <w:rPr>
          <w:lang w:val="en-US"/>
        </w:rPr>
      </w:pPr>
    </w:p>
    <w:p w:rsidR="00876FA1" w:rsidRDefault="00604A0A" w:rsidP="00876FA1">
      <w:pPr>
        <w:spacing w:after="0"/>
        <w:rPr>
          <w:lang w:val="en-US"/>
        </w:rPr>
      </w:pPr>
      <w:r>
        <w:rPr>
          <w:lang w:val="en-US"/>
        </w:rPr>
        <w:t>Numerous</w:t>
      </w:r>
      <w:r w:rsidR="00876FA1" w:rsidRPr="00876FA1">
        <w:rPr>
          <w:lang w:val="en-US"/>
        </w:rPr>
        <w:t xml:space="preserve"> input documents was received, some </w:t>
      </w:r>
      <w:r>
        <w:rPr>
          <w:lang w:val="en-US"/>
        </w:rPr>
        <w:t xml:space="preserve">are </w:t>
      </w:r>
      <w:r w:rsidR="00876FA1" w:rsidRPr="00876FA1">
        <w:rPr>
          <w:lang w:val="en-US"/>
        </w:rPr>
        <w:t xml:space="preserve">not relevant to IALA, </w:t>
      </w:r>
      <w:proofErr w:type="gramStart"/>
      <w:r w:rsidR="00876FA1" w:rsidRPr="00876FA1">
        <w:rPr>
          <w:lang w:val="en-US"/>
        </w:rPr>
        <w:t>some</w:t>
      </w:r>
      <w:r>
        <w:rPr>
          <w:lang w:val="en-US"/>
        </w:rPr>
        <w:t xml:space="preserve">  are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sligthly</w:t>
      </w:r>
      <w:proofErr w:type="spellEnd"/>
      <w:r w:rsidR="00876FA1" w:rsidRPr="00876FA1">
        <w:rPr>
          <w:lang w:val="en-US"/>
        </w:rPr>
        <w:t xml:space="preserve"> relevant and some </w:t>
      </w:r>
      <w:r>
        <w:rPr>
          <w:lang w:val="en-US"/>
        </w:rPr>
        <w:t xml:space="preserve">are </w:t>
      </w:r>
      <w:r w:rsidR="00876FA1" w:rsidRPr="00876FA1">
        <w:rPr>
          <w:lang w:val="en-US"/>
        </w:rPr>
        <w:t>received from IALA to the S100WG.</w:t>
      </w:r>
      <w:r w:rsidR="00876FA1">
        <w:rPr>
          <w:lang w:val="en-US"/>
        </w:rPr>
        <w:t xml:space="preserve"> Andre Bolles represented IALA regarding session services. </w:t>
      </w:r>
    </w:p>
    <w:p w:rsidR="00876FA1" w:rsidRDefault="00876FA1" w:rsidP="00876FA1">
      <w:pPr>
        <w:spacing w:after="0"/>
        <w:rPr>
          <w:lang w:val="en-US"/>
        </w:rPr>
      </w:pPr>
    </w:p>
    <w:p w:rsidR="00876FA1" w:rsidRDefault="00876FA1" w:rsidP="00876FA1">
      <w:pPr>
        <w:spacing w:after="0"/>
        <w:rPr>
          <w:lang w:val="en-US"/>
        </w:rPr>
      </w:pPr>
      <w:r>
        <w:rPr>
          <w:lang w:val="en-US"/>
        </w:rPr>
        <w:t>Review of issues and response:</w:t>
      </w:r>
    </w:p>
    <w:p w:rsidR="004E327F" w:rsidRPr="004E327F" w:rsidRDefault="004E327F" w:rsidP="004E327F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 w:rsidRPr="009969A2">
        <w:rPr>
          <w:lang w:val="en-US"/>
        </w:rPr>
        <w:t>Doc 8.3, MRN scheme (input NIPWG), S100WG is positive in principle to the paper, unique identifiers are required, questions: who should own the register IALA or IHO, according to my understanding IHO prefer</w:t>
      </w:r>
      <w:r w:rsidR="00604A0A">
        <w:rPr>
          <w:lang w:val="en-US"/>
        </w:rPr>
        <w:t>s</w:t>
      </w:r>
      <w:r w:rsidRPr="009969A2">
        <w:rPr>
          <w:lang w:val="en-US"/>
        </w:rPr>
        <w:t xml:space="preserve"> IALA, IHO will use the register but not run it, according to info from delegate the domain </w:t>
      </w:r>
      <w:proofErr w:type="spellStart"/>
      <w:r w:rsidRPr="009969A2">
        <w:rPr>
          <w:lang w:val="en-US"/>
        </w:rPr>
        <w:t>mrn</w:t>
      </w:r>
      <w:proofErr w:type="spellEnd"/>
      <w:r w:rsidRPr="009969A2">
        <w:rPr>
          <w:lang w:val="en-US"/>
        </w:rPr>
        <w:t xml:space="preserve"> is not allocated to IALA at the moment</w:t>
      </w:r>
      <w:r w:rsidR="00604A0A">
        <w:rPr>
          <w:lang w:val="en-US"/>
        </w:rPr>
        <w:t xml:space="preserve">, but at ENAV20 MRN was agreed upon, a request to register the domain to be sent on behalf of IALA by DMA. </w:t>
      </w:r>
    </w:p>
    <w:p w:rsidR="004E327F" w:rsidRPr="004E327F" w:rsidRDefault="004E327F" w:rsidP="000E4331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 w:rsidRPr="004E327F">
        <w:rPr>
          <w:lang w:val="en-US"/>
        </w:rPr>
        <w:t>Doc 10.7, IALA Guideline regarding testbed result, S100WG agreed to adopt IALA guideline, as for harmonization, sharing results and for saving development resources.</w:t>
      </w:r>
    </w:p>
    <w:p w:rsidR="00876FA1" w:rsidRDefault="003E003A" w:rsidP="00063859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Doc 10.11A,</w:t>
      </w:r>
      <w:r w:rsidR="00063859">
        <w:rPr>
          <w:lang w:val="en-US"/>
        </w:rPr>
        <w:t xml:space="preserve">Request for unique identifiers (input NIPWG), correlates to IALA MRN request, the need for such systems are agreed in general, </w:t>
      </w:r>
      <w:r>
        <w:rPr>
          <w:lang w:val="en-US"/>
        </w:rPr>
        <w:t>IALA and IHO need to sort out who is in charge of parts which intersects.</w:t>
      </w:r>
      <w:r w:rsidR="007452FB">
        <w:rPr>
          <w:lang w:val="en-US"/>
        </w:rPr>
        <w:t xml:space="preserve"> S100WG is in favor of adopting the MRN when approved by IALA. </w:t>
      </w:r>
    </w:p>
    <w:p w:rsidR="00F4463A" w:rsidRDefault="006309B1" w:rsidP="00063859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Doc 11.7, ENC display issues (by SHOM), very interesting paper pinpointing issues with portrayal challenges within S-101 and S-57, a project team will be established, IALA is invited to provide input to this work</w:t>
      </w:r>
    </w:p>
    <w:p w:rsidR="007452FB" w:rsidRPr="00063859" w:rsidRDefault="002B6DED" w:rsidP="00063859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Various pap</w:t>
      </w:r>
      <w:r w:rsidR="00DC050C">
        <w:rPr>
          <w:lang w:val="en-US"/>
        </w:rPr>
        <w:t xml:space="preserve">ers regarding session services -&gt; See minutes on discussion </w:t>
      </w:r>
      <w:r w:rsidR="00637689">
        <w:rPr>
          <w:lang w:val="en-US"/>
        </w:rPr>
        <w:t>of that topic       (</w:t>
      </w:r>
      <w:r w:rsidR="0092053E">
        <w:rPr>
          <w:lang w:val="en-US"/>
        </w:rPr>
        <w:t xml:space="preserve">Andre </w:t>
      </w:r>
      <w:proofErr w:type="spellStart"/>
      <w:r w:rsidR="0092053E">
        <w:rPr>
          <w:lang w:val="en-US"/>
        </w:rPr>
        <w:t>Bolles</w:t>
      </w:r>
      <w:proofErr w:type="spellEnd"/>
      <w:r w:rsidR="0092053E">
        <w:rPr>
          <w:lang w:val="en-US"/>
        </w:rPr>
        <w:t xml:space="preserve"> is giving a separate report on details of session services</w:t>
      </w:r>
      <w:r w:rsidR="00DC050C">
        <w:rPr>
          <w:lang w:val="en-US"/>
        </w:rPr>
        <w:t>)</w:t>
      </w:r>
    </w:p>
    <w:p w:rsidR="00876FA1" w:rsidRDefault="00876FA1" w:rsidP="00876FA1">
      <w:pPr>
        <w:spacing w:after="0"/>
        <w:rPr>
          <w:lang w:val="en-US"/>
        </w:rPr>
      </w:pPr>
    </w:p>
    <w:p w:rsidR="00876FA1" w:rsidRDefault="00876FA1" w:rsidP="00876FA1">
      <w:pPr>
        <w:spacing w:after="0"/>
        <w:rPr>
          <w:lang w:val="en-US"/>
        </w:rPr>
      </w:pPr>
    </w:p>
    <w:p w:rsidR="00E85900" w:rsidRDefault="0092053E" w:rsidP="00876FA1">
      <w:pPr>
        <w:spacing w:after="0"/>
        <w:rPr>
          <w:lang w:val="en-US"/>
        </w:rPr>
      </w:pPr>
      <w:r>
        <w:rPr>
          <w:lang w:val="en-US"/>
        </w:rPr>
        <w:t xml:space="preserve">Several </w:t>
      </w:r>
      <w:r w:rsidR="00E85900">
        <w:rPr>
          <w:lang w:val="en-US"/>
        </w:rPr>
        <w:t xml:space="preserve">papers where related to S-102 data, or how to make use of such data. Various HO </w:t>
      </w:r>
      <w:r>
        <w:rPr>
          <w:lang w:val="en-US"/>
        </w:rPr>
        <w:t xml:space="preserve">do </w:t>
      </w:r>
      <w:r w:rsidR="00E85900">
        <w:rPr>
          <w:lang w:val="en-US"/>
        </w:rPr>
        <w:t>have various policies regarding this. The users request</w:t>
      </w:r>
      <w:r>
        <w:rPr>
          <w:lang w:val="en-US"/>
        </w:rPr>
        <w:t>s</w:t>
      </w:r>
      <w:r w:rsidR="00E85900">
        <w:rPr>
          <w:lang w:val="en-US"/>
        </w:rPr>
        <w:t xml:space="preserve"> better data, HO</w:t>
      </w:r>
      <w:r>
        <w:rPr>
          <w:lang w:val="en-US"/>
        </w:rPr>
        <w:t>’s</w:t>
      </w:r>
      <w:r w:rsidR="00E85900">
        <w:rPr>
          <w:lang w:val="en-US"/>
        </w:rPr>
        <w:t xml:space="preserve"> have good data but lacking a proper way to distribute these data. The easy way is to use additional layers of info, but this raises liability issues with current ECDIS. Pilots (PPU) are a key user group for such data, example </w:t>
      </w:r>
      <w:r w:rsidR="00EA25DF">
        <w:rPr>
          <w:lang w:val="en-US"/>
        </w:rPr>
        <w:t>shown from Hamburg at ENCWG</w:t>
      </w:r>
      <w:r w:rsidR="00B42A75">
        <w:rPr>
          <w:lang w:val="en-US"/>
        </w:rPr>
        <w:t xml:space="preserve"> (doc 5.3)</w:t>
      </w:r>
      <w:r w:rsidR="00EA25DF">
        <w:rPr>
          <w:lang w:val="en-US"/>
        </w:rPr>
        <w:t xml:space="preserve">. </w:t>
      </w:r>
    </w:p>
    <w:p w:rsidR="00E85900" w:rsidRDefault="00E85900" w:rsidP="00876FA1">
      <w:pPr>
        <w:spacing w:after="0"/>
        <w:rPr>
          <w:lang w:val="en-US"/>
        </w:rPr>
      </w:pPr>
    </w:p>
    <w:p w:rsidR="00B84754" w:rsidRDefault="0092053E" w:rsidP="00876FA1">
      <w:pPr>
        <w:spacing w:after="0"/>
        <w:rPr>
          <w:lang w:val="en-US"/>
        </w:rPr>
      </w:pPr>
      <w:r>
        <w:rPr>
          <w:lang w:val="en-US"/>
        </w:rPr>
        <w:t>Rep.</w:t>
      </w:r>
      <w:r w:rsidR="00B84754">
        <w:rPr>
          <w:lang w:val="en-US"/>
        </w:rPr>
        <w:t xml:space="preserve"> Korea is very active within software work/testbeds for </w:t>
      </w:r>
      <w:proofErr w:type="gramStart"/>
      <w:r w:rsidR="00B84754">
        <w:rPr>
          <w:lang w:val="en-US"/>
        </w:rPr>
        <w:t>S100,</w:t>
      </w:r>
      <w:proofErr w:type="gramEnd"/>
      <w:r w:rsidR="00B84754">
        <w:rPr>
          <w:lang w:val="en-US"/>
        </w:rPr>
        <w:t xml:space="preserve"> they are currently developing a Feature Catalogue Builder. It was recommend for IALA to test S-201 regarding this. IALA should try to</w:t>
      </w:r>
      <w:r>
        <w:rPr>
          <w:lang w:val="en-US"/>
        </w:rPr>
        <w:t xml:space="preserve"> make benefit of this situation as there is a strong commitment </w:t>
      </w:r>
      <w:proofErr w:type="gramStart"/>
      <w:r>
        <w:rPr>
          <w:lang w:val="en-US"/>
        </w:rPr>
        <w:t xml:space="preserve">from </w:t>
      </w:r>
      <w:r w:rsidR="00B84754">
        <w:rPr>
          <w:lang w:val="en-US"/>
        </w:rPr>
        <w:t xml:space="preserve"> </w:t>
      </w:r>
      <w:r>
        <w:rPr>
          <w:lang w:val="en-US"/>
        </w:rPr>
        <w:t>Rep</w:t>
      </w:r>
      <w:proofErr w:type="gramEnd"/>
      <w:r>
        <w:rPr>
          <w:lang w:val="en-US"/>
        </w:rPr>
        <w:t xml:space="preserve">. Korea with work related to IALA. </w:t>
      </w:r>
    </w:p>
    <w:p w:rsidR="0033432B" w:rsidRDefault="0033432B" w:rsidP="00876FA1">
      <w:pPr>
        <w:spacing w:after="0"/>
        <w:rPr>
          <w:lang w:val="en-US"/>
        </w:rPr>
      </w:pPr>
    </w:p>
    <w:p w:rsidR="0033432B" w:rsidRDefault="0033432B" w:rsidP="00876FA1">
      <w:pPr>
        <w:spacing w:after="0"/>
        <w:rPr>
          <w:lang w:val="en-US"/>
        </w:rPr>
      </w:pPr>
      <w:r>
        <w:rPr>
          <w:lang w:val="en-US"/>
        </w:rPr>
        <w:t>Cyber security issues where raised at the meeting and is a growing concern that need to be addressed.</w:t>
      </w:r>
    </w:p>
    <w:p w:rsidR="00876FA1" w:rsidRDefault="00876FA1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876FA1" w:rsidRPr="00524C38" w:rsidRDefault="0015773E" w:rsidP="00876FA1">
      <w:pPr>
        <w:spacing w:after="0"/>
        <w:rPr>
          <w:b/>
          <w:color w:val="002060"/>
          <w:lang w:val="en-US"/>
        </w:rPr>
      </w:pPr>
      <w:r w:rsidRPr="00524C38">
        <w:rPr>
          <w:b/>
          <w:color w:val="002060"/>
          <w:lang w:val="en-US"/>
        </w:rPr>
        <w:t>Any other business:</w:t>
      </w:r>
    </w:p>
    <w:p w:rsidR="0015773E" w:rsidRDefault="0015773E" w:rsidP="00876FA1">
      <w:pPr>
        <w:spacing w:after="0"/>
        <w:rPr>
          <w:lang w:val="en-US"/>
        </w:rPr>
      </w:pPr>
      <w:r>
        <w:rPr>
          <w:lang w:val="en-US"/>
        </w:rPr>
        <w:t>Sent UKHO (Jonathan Pritchard) a slideshow regarding directional arrows in TSS, he should forward the paper to appropriate person</w:t>
      </w:r>
      <w:r w:rsidR="005B72DF">
        <w:rPr>
          <w:lang w:val="en-US"/>
        </w:rPr>
        <w:t>s</w:t>
      </w:r>
      <w:r>
        <w:rPr>
          <w:lang w:val="en-US"/>
        </w:rPr>
        <w:t xml:space="preserve">, hopefully they will give us a response. </w:t>
      </w:r>
    </w:p>
    <w:p w:rsidR="00EA25DF" w:rsidRDefault="00EA25DF" w:rsidP="00876FA1">
      <w:pPr>
        <w:spacing w:after="0"/>
        <w:rPr>
          <w:lang w:val="en-US"/>
        </w:rPr>
      </w:pPr>
    </w:p>
    <w:p w:rsidR="00524C38" w:rsidRDefault="00524C38" w:rsidP="00876FA1">
      <w:pPr>
        <w:spacing w:after="0"/>
        <w:rPr>
          <w:lang w:val="en-US"/>
        </w:rPr>
      </w:pPr>
      <w:r>
        <w:rPr>
          <w:lang w:val="en-US"/>
        </w:rPr>
        <w:t xml:space="preserve">Generally there is at concern that S100 timeline will slide further. There is a common </w:t>
      </w:r>
      <w:proofErr w:type="spellStart"/>
      <w:r>
        <w:rPr>
          <w:lang w:val="en-US"/>
        </w:rPr>
        <w:t>interpretion</w:t>
      </w:r>
      <w:proofErr w:type="spellEnd"/>
      <w:r>
        <w:rPr>
          <w:lang w:val="en-US"/>
        </w:rPr>
        <w:t xml:space="preserve"> </w:t>
      </w:r>
      <w:r w:rsidR="0092053E">
        <w:rPr>
          <w:lang w:val="en-US"/>
        </w:rPr>
        <w:t xml:space="preserve">now </w:t>
      </w:r>
      <w:r>
        <w:rPr>
          <w:lang w:val="en-US"/>
        </w:rPr>
        <w:t xml:space="preserve">that S-52 </w:t>
      </w:r>
      <w:proofErr w:type="gramStart"/>
      <w:r>
        <w:rPr>
          <w:lang w:val="en-US"/>
        </w:rPr>
        <w:t>need</w:t>
      </w:r>
      <w:proofErr w:type="gramEnd"/>
      <w:r>
        <w:rPr>
          <w:lang w:val="en-US"/>
        </w:rPr>
        <w:t xml:space="preserve"> a update to modern technology standards/ability. As </w:t>
      </w:r>
      <w:r w:rsidR="0092053E">
        <w:rPr>
          <w:lang w:val="en-US"/>
        </w:rPr>
        <w:t xml:space="preserve">the </w:t>
      </w:r>
      <w:r>
        <w:rPr>
          <w:lang w:val="en-US"/>
        </w:rPr>
        <w:t>S-57 standard is frozen there is a risk of delaying further S100 if resources are used on S-57. But as SHOM commented, can we wait 15 years to fix S-52 items for vessels using S-57?</w:t>
      </w:r>
      <w:r w:rsidR="00125E35">
        <w:rPr>
          <w:lang w:val="en-US"/>
        </w:rPr>
        <w:t xml:space="preserve"> Since S-57 is frozen the HO is limited in which features they can improve</w:t>
      </w:r>
      <w:r w:rsidR="0092053E">
        <w:rPr>
          <w:lang w:val="en-US"/>
        </w:rPr>
        <w:t>, some are easy and some are not dependent if it will require changes to S-57 or not</w:t>
      </w:r>
      <w:r w:rsidR="00125E35">
        <w:rPr>
          <w:lang w:val="en-US"/>
        </w:rPr>
        <w:t xml:space="preserve">. </w:t>
      </w:r>
    </w:p>
    <w:p w:rsidR="00524C38" w:rsidRDefault="00524C38" w:rsidP="00876FA1">
      <w:pPr>
        <w:spacing w:after="0"/>
        <w:rPr>
          <w:lang w:val="en-US"/>
        </w:rPr>
      </w:pPr>
    </w:p>
    <w:p w:rsidR="00524C38" w:rsidRDefault="00524C38" w:rsidP="00876FA1">
      <w:pPr>
        <w:spacing w:after="0"/>
        <w:rPr>
          <w:lang w:val="en-US"/>
        </w:rPr>
      </w:pPr>
      <w:r>
        <w:rPr>
          <w:lang w:val="en-US"/>
        </w:rPr>
        <w:t>For ease/speed of introduction of S-100 ECDIS, the new ECDIS’s will need to have dual-fuel capability (S-57 + S-101</w:t>
      </w:r>
      <w:proofErr w:type="gramStart"/>
      <w:r>
        <w:rPr>
          <w:lang w:val="en-US"/>
        </w:rPr>
        <w:t>) ,</w:t>
      </w:r>
      <w:proofErr w:type="gramEnd"/>
      <w:r>
        <w:rPr>
          <w:lang w:val="en-US"/>
        </w:rPr>
        <w:t xml:space="preserve"> as S-101 charts will take time to issue for the various HO.</w:t>
      </w:r>
    </w:p>
    <w:p w:rsidR="00524C38" w:rsidRDefault="00524C38" w:rsidP="00876FA1">
      <w:pPr>
        <w:spacing w:after="0"/>
        <w:rPr>
          <w:lang w:val="en-US"/>
        </w:rPr>
      </w:pPr>
    </w:p>
    <w:p w:rsidR="00524C38" w:rsidRDefault="00524C38" w:rsidP="00876FA1">
      <w:pPr>
        <w:spacing w:after="0"/>
        <w:rPr>
          <w:lang w:val="en-US"/>
        </w:rPr>
      </w:pPr>
      <w:r>
        <w:rPr>
          <w:lang w:val="en-US"/>
        </w:rPr>
        <w:t xml:space="preserve">IHO will hold an assembly in April, which will lead to change in management as several directors are at election. </w:t>
      </w:r>
    </w:p>
    <w:p w:rsidR="00A742F0" w:rsidRDefault="00A742F0" w:rsidP="00876FA1">
      <w:pPr>
        <w:spacing w:after="0"/>
        <w:rPr>
          <w:lang w:val="en-US"/>
        </w:rPr>
      </w:pPr>
    </w:p>
    <w:p w:rsidR="00A742F0" w:rsidRDefault="00A742F0" w:rsidP="00876FA1">
      <w:pPr>
        <w:spacing w:after="0"/>
        <w:rPr>
          <w:lang w:val="en-US"/>
        </w:rPr>
      </w:pPr>
      <w:r>
        <w:rPr>
          <w:lang w:val="en-US"/>
        </w:rPr>
        <w:t>As S-101 (the new ENC chart) will hold all necessary information regarding items related to safe navigation, issues in S-201 do not need to include portrayal. S-201 will be a tool for interchang</w:t>
      </w:r>
      <w:r w:rsidR="008D63A8">
        <w:rPr>
          <w:lang w:val="en-US"/>
        </w:rPr>
        <w:t xml:space="preserve">ing information regarding </w:t>
      </w:r>
      <w:proofErr w:type="spellStart"/>
      <w:r w:rsidR="008D63A8">
        <w:rPr>
          <w:lang w:val="en-US"/>
        </w:rPr>
        <w:t>AtoN’s</w:t>
      </w:r>
      <w:proofErr w:type="spellEnd"/>
      <w:r>
        <w:rPr>
          <w:lang w:val="en-US"/>
        </w:rPr>
        <w:t xml:space="preserve"> (comparable </w:t>
      </w:r>
      <w:r w:rsidR="007248EF">
        <w:rPr>
          <w:lang w:val="en-US"/>
        </w:rPr>
        <w:t>to List of Lights) electronically.</w:t>
      </w:r>
    </w:p>
    <w:p w:rsidR="00125E35" w:rsidRDefault="00125E35" w:rsidP="00876FA1">
      <w:pPr>
        <w:spacing w:after="0"/>
        <w:rPr>
          <w:lang w:val="en-US"/>
        </w:rPr>
      </w:pPr>
    </w:p>
    <w:p w:rsidR="00125E35" w:rsidRDefault="00125E35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125E35" w:rsidRPr="004A7597" w:rsidRDefault="00125E35" w:rsidP="00125E35">
      <w:pPr>
        <w:spacing w:after="0"/>
        <w:rPr>
          <w:b/>
          <w:color w:val="002060"/>
          <w:lang w:val="en-US"/>
        </w:rPr>
      </w:pPr>
      <w:r w:rsidRPr="004A7597">
        <w:rPr>
          <w:b/>
          <w:color w:val="002060"/>
          <w:lang w:val="en-US"/>
        </w:rPr>
        <w:lastRenderedPageBreak/>
        <w:t>Meeting ENCWG, Genoa 20-22. March 2017</w:t>
      </w:r>
    </w:p>
    <w:p w:rsidR="004A7597" w:rsidRPr="004A7597" w:rsidRDefault="004A7597" w:rsidP="004A7597">
      <w:pPr>
        <w:spacing w:after="0"/>
        <w:rPr>
          <w:b/>
          <w:color w:val="002060"/>
          <w:lang w:val="en-US"/>
        </w:rPr>
      </w:pPr>
      <w:r w:rsidRPr="004A7597">
        <w:rPr>
          <w:b/>
          <w:color w:val="002060"/>
          <w:lang w:val="en-US"/>
        </w:rPr>
        <w:t xml:space="preserve">Chair:  </w:t>
      </w:r>
      <w:r>
        <w:rPr>
          <w:b/>
          <w:color w:val="002060"/>
          <w:lang w:val="en-US"/>
        </w:rPr>
        <w:t xml:space="preserve">Tom Mellor UKHO, </w:t>
      </w:r>
      <w:proofErr w:type="spellStart"/>
      <w:r>
        <w:rPr>
          <w:b/>
          <w:color w:val="002060"/>
          <w:lang w:val="en-US"/>
        </w:rPr>
        <w:t>WChair</w:t>
      </w:r>
      <w:proofErr w:type="spellEnd"/>
      <w:r>
        <w:rPr>
          <w:b/>
          <w:color w:val="002060"/>
          <w:lang w:val="en-US"/>
        </w:rPr>
        <w:t xml:space="preserve">:  </w:t>
      </w:r>
      <w:proofErr w:type="spellStart"/>
      <w:r>
        <w:rPr>
          <w:b/>
          <w:color w:val="002060"/>
          <w:lang w:val="en-US"/>
        </w:rPr>
        <w:t>Miko</w:t>
      </w:r>
      <w:proofErr w:type="spellEnd"/>
      <w:r>
        <w:rPr>
          <w:b/>
          <w:color w:val="002060"/>
          <w:lang w:val="en-US"/>
        </w:rPr>
        <w:t xml:space="preserve"> </w:t>
      </w:r>
      <w:proofErr w:type="spellStart"/>
      <w:r>
        <w:rPr>
          <w:b/>
          <w:color w:val="002060"/>
          <w:lang w:val="en-US"/>
        </w:rPr>
        <w:t>Hovi</w:t>
      </w:r>
      <w:proofErr w:type="spellEnd"/>
      <w:r>
        <w:rPr>
          <w:b/>
          <w:color w:val="002060"/>
          <w:lang w:val="en-US"/>
        </w:rPr>
        <w:t xml:space="preserve"> FTA</w:t>
      </w:r>
    </w:p>
    <w:p w:rsidR="00125E35" w:rsidRDefault="00125E35" w:rsidP="00876FA1">
      <w:pPr>
        <w:spacing w:after="0"/>
        <w:rPr>
          <w:lang w:val="en-US"/>
        </w:rPr>
      </w:pPr>
    </w:p>
    <w:p w:rsidR="004A7597" w:rsidRDefault="004A7597" w:rsidP="004A7597">
      <w:pPr>
        <w:spacing w:after="0"/>
        <w:rPr>
          <w:lang w:val="en-US"/>
        </w:rPr>
      </w:pPr>
      <w:r w:rsidRPr="00876FA1">
        <w:rPr>
          <w:lang w:val="en-US"/>
        </w:rPr>
        <w:t xml:space="preserve">Many input documents was received, some not relevant to IALA, some </w:t>
      </w:r>
      <w:r>
        <w:rPr>
          <w:lang w:val="en-US"/>
        </w:rPr>
        <w:t xml:space="preserve">direct </w:t>
      </w:r>
      <w:r w:rsidRPr="00876FA1">
        <w:rPr>
          <w:lang w:val="en-US"/>
        </w:rPr>
        <w:t>relevant</w:t>
      </w:r>
      <w:r>
        <w:rPr>
          <w:lang w:val="en-US"/>
        </w:rPr>
        <w:t>.</w:t>
      </w:r>
    </w:p>
    <w:p w:rsidR="004A7597" w:rsidRDefault="004A7597" w:rsidP="004A7597">
      <w:pPr>
        <w:spacing w:after="0"/>
        <w:rPr>
          <w:lang w:val="en-US"/>
        </w:rPr>
      </w:pPr>
    </w:p>
    <w:p w:rsidR="004A7597" w:rsidRDefault="004A7597" w:rsidP="004A7597">
      <w:pPr>
        <w:spacing w:after="0"/>
        <w:rPr>
          <w:lang w:val="en-US"/>
        </w:rPr>
      </w:pPr>
      <w:r>
        <w:rPr>
          <w:lang w:val="en-US"/>
        </w:rPr>
        <w:t>Review of issues and response:</w:t>
      </w:r>
    </w:p>
    <w:p w:rsidR="004A7597" w:rsidRDefault="00B42A75" w:rsidP="004A7597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Doc 2.5, centered symbols, some </w:t>
      </w:r>
      <w:proofErr w:type="spellStart"/>
      <w:r>
        <w:rPr>
          <w:lang w:val="en-US"/>
        </w:rPr>
        <w:t>AtoN’s</w:t>
      </w:r>
      <w:proofErr w:type="spellEnd"/>
      <w:r>
        <w:rPr>
          <w:lang w:val="en-US"/>
        </w:rPr>
        <w:t xml:space="preserve"> (as example) have not been shown with centered object, just ring indicating the light, work with encoding to fix this</w:t>
      </w:r>
    </w:p>
    <w:p w:rsidR="00B42A75" w:rsidRDefault="00150E65" w:rsidP="004A7597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>Doc 6.1, light description string, encoding guidance is updated so that ECDIS OEM is allowed to choose two options, with/without space after light character. A preferred opti</w:t>
      </w:r>
      <w:r w:rsidR="00A742F0">
        <w:rPr>
          <w:lang w:val="en-US"/>
        </w:rPr>
        <w:t>on</w:t>
      </w:r>
      <w:r>
        <w:rPr>
          <w:lang w:val="en-US"/>
        </w:rPr>
        <w:t xml:space="preserve"> was not allowed </w:t>
      </w:r>
      <w:r w:rsidR="00A742F0">
        <w:rPr>
          <w:lang w:val="en-US"/>
        </w:rPr>
        <w:t>indicated</w:t>
      </w:r>
      <w:r w:rsidR="00B22805">
        <w:rPr>
          <w:lang w:val="en-US"/>
        </w:rPr>
        <w:t xml:space="preserve">, </w:t>
      </w:r>
      <w:r>
        <w:rPr>
          <w:lang w:val="en-US"/>
        </w:rPr>
        <w:t>since it will inflict problems with type</w:t>
      </w:r>
      <w:r w:rsidR="00B22805">
        <w:rPr>
          <w:lang w:val="en-US"/>
        </w:rPr>
        <w:t xml:space="preserve"> approval for</w:t>
      </w:r>
      <w:r>
        <w:rPr>
          <w:lang w:val="en-US"/>
        </w:rPr>
        <w:t xml:space="preserve"> existing ECDIS. </w:t>
      </w:r>
    </w:p>
    <w:p w:rsidR="00CD00A6" w:rsidRDefault="00CD00A6" w:rsidP="004A7597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Doc 5.3, </w:t>
      </w:r>
      <w:proofErr w:type="spellStart"/>
      <w:r>
        <w:rPr>
          <w:lang w:val="en-US"/>
        </w:rPr>
        <w:t>Intertanko</w:t>
      </w:r>
      <w:proofErr w:type="spellEnd"/>
      <w:r>
        <w:rPr>
          <w:lang w:val="en-US"/>
        </w:rPr>
        <w:t xml:space="preserve">, it is various procedures on T/P notices are included in ENC, this causes challenges for the mariners, IHO will revise guidance on T/P notices for it members. This might be applicable for </w:t>
      </w:r>
      <w:proofErr w:type="spellStart"/>
      <w:r>
        <w:rPr>
          <w:lang w:val="en-US"/>
        </w:rPr>
        <w:t>AtoN’s</w:t>
      </w:r>
      <w:proofErr w:type="spellEnd"/>
      <w:r>
        <w:rPr>
          <w:lang w:val="en-US"/>
        </w:rPr>
        <w:t>.</w:t>
      </w:r>
    </w:p>
    <w:p w:rsidR="00CC5143" w:rsidRPr="004A7597" w:rsidRDefault="00CC5143" w:rsidP="004A7597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Doc 5.8, S-66 code of good practices regarding ECDIS, shall be updated, must also consider IMO </w:t>
      </w:r>
      <w:proofErr w:type="spellStart"/>
      <w:r>
        <w:rPr>
          <w:lang w:val="en-US"/>
        </w:rPr>
        <w:t>circ</w:t>
      </w:r>
      <w:proofErr w:type="spellEnd"/>
      <w:r>
        <w:rPr>
          <w:lang w:val="en-US"/>
        </w:rPr>
        <w:t xml:space="preserve"> 1503 regarding ECDIS. IHO will also improve webpage regarding providing easy access for mariners and port state controllers in respect to checking installed ECDIS is according to latest standards. </w:t>
      </w:r>
    </w:p>
    <w:p w:rsidR="0015773E" w:rsidRDefault="0015773E" w:rsidP="00876FA1">
      <w:pPr>
        <w:spacing w:after="0"/>
        <w:rPr>
          <w:lang w:val="en-US"/>
        </w:rPr>
      </w:pPr>
    </w:p>
    <w:p w:rsidR="00125E35" w:rsidRDefault="00125E35" w:rsidP="00876FA1">
      <w:pPr>
        <w:spacing w:after="0"/>
        <w:rPr>
          <w:lang w:val="en-US"/>
        </w:rPr>
      </w:pPr>
    </w:p>
    <w:p w:rsidR="00125E35" w:rsidRDefault="00125E35" w:rsidP="00876FA1">
      <w:pPr>
        <w:spacing w:after="0"/>
        <w:rPr>
          <w:lang w:val="en-US"/>
        </w:rPr>
      </w:pPr>
    </w:p>
    <w:p w:rsidR="00125E35" w:rsidRPr="00524C38" w:rsidRDefault="00125E35" w:rsidP="00125E35">
      <w:pPr>
        <w:spacing w:after="0"/>
        <w:rPr>
          <w:b/>
          <w:color w:val="002060"/>
          <w:lang w:val="en-US"/>
        </w:rPr>
      </w:pPr>
      <w:r w:rsidRPr="00524C38">
        <w:rPr>
          <w:b/>
          <w:color w:val="002060"/>
          <w:lang w:val="en-US"/>
        </w:rPr>
        <w:t>Any other business:</w:t>
      </w:r>
    </w:p>
    <w:p w:rsidR="00125E35" w:rsidRDefault="009B6F28" w:rsidP="00876FA1">
      <w:pPr>
        <w:spacing w:after="0"/>
        <w:rPr>
          <w:lang w:val="en-US"/>
        </w:rPr>
      </w:pPr>
      <w:r>
        <w:rPr>
          <w:lang w:val="en-US"/>
        </w:rPr>
        <w:t>Sector lights, as a</w:t>
      </w:r>
      <w:r w:rsidR="00150E65">
        <w:rPr>
          <w:lang w:val="en-US"/>
        </w:rPr>
        <w:t xml:space="preserve"> follow-up from last meeting</w:t>
      </w:r>
      <w:r>
        <w:rPr>
          <w:lang w:val="en-US"/>
        </w:rPr>
        <w:t>,</w:t>
      </w:r>
      <w:r w:rsidR="00150E65">
        <w:rPr>
          <w:lang w:val="en-US"/>
        </w:rPr>
        <w:t xml:space="preserve"> a revision of the encoding guidance was updated. This ensures that it is allowed to display light characters for sector lights also</w:t>
      </w:r>
      <w:r>
        <w:rPr>
          <w:lang w:val="en-US"/>
        </w:rPr>
        <w:t xml:space="preserve"> </w:t>
      </w:r>
      <w:r w:rsidR="00150E65">
        <w:rPr>
          <w:lang w:val="en-US"/>
        </w:rPr>
        <w:t xml:space="preserve">(as requested by Norwegian Navy), currently it is only for </w:t>
      </w:r>
      <w:proofErr w:type="spellStart"/>
      <w:r w:rsidR="00150E65">
        <w:rPr>
          <w:lang w:val="en-US"/>
        </w:rPr>
        <w:t>omni</w:t>
      </w:r>
      <w:proofErr w:type="spellEnd"/>
      <w:r w:rsidR="00150E65">
        <w:rPr>
          <w:lang w:val="en-US"/>
        </w:rPr>
        <w:t>-directional lights.</w:t>
      </w:r>
      <w:r w:rsidR="00DC06AD">
        <w:rPr>
          <w:lang w:val="en-US"/>
        </w:rPr>
        <w:t xml:space="preserve"> ECDIS OEM is allowed</w:t>
      </w:r>
      <w:r>
        <w:rPr>
          <w:lang w:val="en-US"/>
        </w:rPr>
        <w:t xml:space="preserve"> to adopt a feature which can enable/disable this function.</w:t>
      </w:r>
    </w:p>
    <w:p w:rsidR="003E2780" w:rsidRDefault="003E2780" w:rsidP="00876FA1">
      <w:pPr>
        <w:spacing w:after="0"/>
        <w:rPr>
          <w:lang w:val="en-US"/>
        </w:rPr>
      </w:pPr>
    </w:p>
    <w:p w:rsidR="003E2780" w:rsidRDefault="003E2780" w:rsidP="00876FA1">
      <w:pPr>
        <w:spacing w:after="0"/>
        <w:rPr>
          <w:lang w:val="en-US"/>
        </w:rPr>
      </w:pPr>
      <w:r>
        <w:rPr>
          <w:lang w:val="en-US"/>
        </w:rPr>
        <w:t xml:space="preserve">There is a change in TA for ECDIS, S-64 provides a large amount of picture examples to be confirmed. </w:t>
      </w:r>
      <w:proofErr w:type="gramStart"/>
      <w:r>
        <w:rPr>
          <w:lang w:val="en-US"/>
        </w:rPr>
        <w:t>This lead t</w:t>
      </w:r>
      <w:r w:rsidR="00A742F0">
        <w:rPr>
          <w:lang w:val="en-US"/>
        </w:rPr>
        <w:t>o a pixel to pixel approval proc</w:t>
      </w:r>
      <w:r>
        <w:rPr>
          <w:lang w:val="en-US"/>
        </w:rPr>
        <w:t>ess, contra the previous TA process which had some leeway.</w:t>
      </w:r>
      <w:proofErr w:type="gramEnd"/>
      <w:r>
        <w:rPr>
          <w:lang w:val="en-US"/>
        </w:rPr>
        <w:t xml:space="preserve"> The new approach is due to various ECDIS anomalies experienced during recent years.</w:t>
      </w:r>
      <w:r w:rsidR="00E72B5A">
        <w:rPr>
          <w:lang w:val="en-US"/>
        </w:rPr>
        <w:t xml:space="preserve"> There is still numerous reports regarding failing port state controls due to various reason (training, chart licenses </w:t>
      </w:r>
      <w:proofErr w:type="spellStart"/>
      <w:r w:rsidR="00E72B5A">
        <w:rPr>
          <w:lang w:val="en-US"/>
        </w:rPr>
        <w:t>etc</w:t>
      </w:r>
      <w:proofErr w:type="spellEnd"/>
      <w:r w:rsidR="00E72B5A">
        <w:rPr>
          <w:lang w:val="en-US"/>
        </w:rPr>
        <w:t>).</w:t>
      </w:r>
    </w:p>
    <w:p w:rsidR="00CC5143" w:rsidRDefault="00CC5143" w:rsidP="00876FA1">
      <w:pPr>
        <w:spacing w:after="0"/>
        <w:rPr>
          <w:lang w:val="en-US"/>
        </w:rPr>
      </w:pPr>
    </w:p>
    <w:p w:rsidR="00CC5143" w:rsidRDefault="00CC5143" w:rsidP="00876FA1">
      <w:pPr>
        <w:spacing w:after="0"/>
        <w:rPr>
          <w:lang w:val="en-US"/>
        </w:rPr>
      </w:pPr>
      <w:r>
        <w:rPr>
          <w:lang w:val="en-US"/>
        </w:rPr>
        <w:t xml:space="preserve">There will be a project team </w:t>
      </w:r>
      <w:r w:rsidR="004858EE">
        <w:rPr>
          <w:lang w:val="en-US"/>
        </w:rPr>
        <w:t xml:space="preserve">(by correspondence) </w:t>
      </w:r>
      <w:r>
        <w:rPr>
          <w:lang w:val="en-US"/>
        </w:rPr>
        <w:t xml:space="preserve">regarding display issues </w:t>
      </w:r>
      <w:r w:rsidR="00AD71DD">
        <w:rPr>
          <w:lang w:val="en-US"/>
        </w:rPr>
        <w:t>on S-52. Several member states/</w:t>
      </w:r>
      <w:r>
        <w:rPr>
          <w:lang w:val="en-US"/>
        </w:rPr>
        <w:t xml:space="preserve">OEM </w:t>
      </w:r>
      <w:r w:rsidR="004858EE">
        <w:rPr>
          <w:lang w:val="en-US"/>
        </w:rPr>
        <w:t>will join the group. I listed IALA also</w:t>
      </w:r>
      <w:r w:rsidR="00AD71DD">
        <w:rPr>
          <w:lang w:val="en-US"/>
        </w:rPr>
        <w:t xml:space="preserve"> to be inclu</w:t>
      </w:r>
      <w:r w:rsidR="00A742F0">
        <w:rPr>
          <w:lang w:val="en-US"/>
        </w:rPr>
        <w:t>ded</w:t>
      </w:r>
      <w:r w:rsidR="004858EE">
        <w:rPr>
          <w:lang w:val="en-US"/>
        </w:rPr>
        <w:t xml:space="preserve">, as a contributor of mariner input/info regarding </w:t>
      </w:r>
      <w:proofErr w:type="spellStart"/>
      <w:r w:rsidR="004858EE">
        <w:rPr>
          <w:lang w:val="en-US"/>
        </w:rPr>
        <w:t>AtoN</w:t>
      </w:r>
      <w:proofErr w:type="spellEnd"/>
      <w:r w:rsidR="004858EE">
        <w:rPr>
          <w:lang w:val="en-US"/>
        </w:rPr>
        <w:t>.</w:t>
      </w:r>
    </w:p>
    <w:p w:rsidR="00425149" w:rsidRDefault="00425149" w:rsidP="00876FA1">
      <w:pPr>
        <w:spacing w:after="0"/>
        <w:rPr>
          <w:lang w:val="en-US"/>
        </w:rPr>
      </w:pPr>
    </w:p>
    <w:p w:rsidR="00425149" w:rsidRDefault="00425149" w:rsidP="00876FA1">
      <w:pPr>
        <w:spacing w:after="0"/>
        <w:rPr>
          <w:lang w:val="en-US"/>
        </w:rPr>
      </w:pPr>
      <w:r>
        <w:rPr>
          <w:lang w:val="en-US"/>
        </w:rPr>
        <w:t>Several member states provided input regarding additional bathy data (</w:t>
      </w:r>
      <w:proofErr w:type="spellStart"/>
      <w:r>
        <w:rPr>
          <w:lang w:val="en-US"/>
        </w:rPr>
        <w:t>bENC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etc</w:t>
      </w:r>
      <w:proofErr w:type="spellEnd"/>
      <w:r>
        <w:rPr>
          <w:lang w:val="en-US"/>
        </w:rPr>
        <w:t>). There was a mixed approach</w:t>
      </w:r>
      <w:r w:rsidR="00A742F0">
        <w:rPr>
          <w:lang w:val="en-US"/>
        </w:rPr>
        <w:t xml:space="preserve"> to this regard</w:t>
      </w:r>
      <w:r>
        <w:rPr>
          <w:lang w:val="en-US"/>
        </w:rPr>
        <w:t xml:space="preserve"> by the various </w:t>
      </w:r>
      <w:proofErr w:type="gramStart"/>
      <w:r>
        <w:rPr>
          <w:lang w:val="en-US"/>
        </w:rPr>
        <w:t>HO,</w:t>
      </w:r>
      <w:proofErr w:type="gramEnd"/>
      <w:r>
        <w:rPr>
          <w:lang w:val="en-US"/>
        </w:rPr>
        <w:t xml:space="preserve"> this will be further discussed at next HSSC meeting. </w:t>
      </w:r>
    </w:p>
    <w:p w:rsidR="00CD00A6" w:rsidRDefault="00CD00A6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0F26DE" w:rsidRDefault="000F26DE" w:rsidP="00876FA1">
      <w:pPr>
        <w:spacing w:after="0"/>
        <w:rPr>
          <w:lang w:val="en-US"/>
        </w:rPr>
      </w:pPr>
    </w:p>
    <w:p w:rsidR="00876FA1" w:rsidRDefault="00876FA1" w:rsidP="00876FA1">
      <w:pPr>
        <w:spacing w:after="0"/>
        <w:rPr>
          <w:lang w:val="en-US"/>
        </w:rPr>
      </w:pPr>
    </w:p>
    <w:p w:rsidR="00876FA1" w:rsidRDefault="00876FA1" w:rsidP="00876FA1">
      <w:pPr>
        <w:spacing w:after="0"/>
        <w:rPr>
          <w:i/>
          <w:lang w:val="en-US"/>
        </w:rPr>
      </w:pPr>
      <w:r w:rsidRPr="000F26DE">
        <w:rPr>
          <w:i/>
          <w:lang w:val="en-US"/>
        </w:rPr>
        <w:lastRenderedPageBreak/>
        <w:t>An official report from the meeting</w:t>
      </w:r>
      <w:r w:rsidR="00125E35" w:rsidRPr="000F26DE">
        <w:rPr>
          <w:i/>
          <w:lang w:val="en-US"/>
        </w:rPr>
        <w:t>s</w:t>
      </w:r>
      <w:r w:rsidRPr="000F26DE">
        <w:rPr>
          <w:i/>
          <w:lang w:val="en-US"/>
        </w:rPr>
        <w:t xml:space="preserve"> will be received, this will take some time (1-2 months).</w:t>
      </w:r>
      <w:r w:rsidR="00063859" w:rsidRPr="000F26DE">
        <w:rPr>
          <w:i/>
          <w:lang w:val="en-US"/>
        </w:rPr>
        <w:t xml:space="preserve">  A</w:t>
      </w:r>
      <w:r w:rsidR="00D112F2" w:rsidRPr="000F26DE">
        <w:rPr>
          <w:i/>
          <w:lang w:val="en-US"/>
        </w:rPr>
        <w:t>ll input documents are freely av</w:t>
      </w:r>
      <w:r w:rsidR="00063859" w:rsidRPr="000F26DE">
        <w:rPr>
          <w:i/>
          <w:lang w:val="en-US"/>
        </w:rPr>
        <w:t xml:space="preserve">ailable at IHO website at the </w:t>
      </w:r>
      <w:r w:rsidR="00D112F2" w:rsidRPr="000F26DE">
        <w:rPr>
          <w:i/>
          <w:lang w:val="en-US"/>
        </w:rPr>
        <w:t xml:space="preserve">corresponding </w:t>
      </w:r>
      <w:r w:rsidR="00063859" w:rsidRPr="000F26DE">
        <w:rPr>
          <w:i/>
          <w:lang w:val="en-US"/>
        </w:rPr>
        <w:t xml:space="preserve">committee area. </w:t>
      </w:r>
    </w:p>
    <w:p w:rsidR="00173033" w:rsidRDefault="00173033" w:rsidP="00876FA1">
      <w:pPr>
        <w:spacing w:after="0"/>
        <w:rPr>
          <w:i/>
          <w:lang w:val="en-US"/>
        </w:rPr>
      </w:pPr>
    </w:p>
    <w:p w:rsidR="00173033" w:rsidRPr="000F26DE" w:rsidRDefault="00173033" w:rsidP="00876FA1">
      <w:pPr>
        <w:spacing w:after="0"/>
        <w:rPr>
          <w:i/>
          <w:lang w:val="en-US"/>
        </w:rPr>
      </w:pPr>
      <w:r w:rsidRPr="00173033">
        <w:rPr>
          <w:i/>
          <w:lang w:val="en-US"/>
        </w:rPr>
        <w:t>http://iho.int/mtg_docs/com_wg/S-100WG/S-100WG2/S-100WG2_Docs.htm</w:t>
      </w:r>
    </w:p>
    <w:p w:rsidR="00425149" w:rsidRDefault="00173033" w:rsidP="00876FA1">
      <w:pPr>
        <w:spacing w:after="0"/>
        <w:rPr>
          <w:lang w:val="en-US"/>
        </w:rPr>
      </w:pPr>
      <w:r w:rsidRPr="00173033">
        <w:rPr>
          <w:lang w:val="en-US"/>
        </w:rPr>
        <w:t>http://iho.int/mtg_docs/com_wg/ENCWG/ENCWG2/ENCWG2Docs.htm</w:t>
      </w:r>
    </w:p>
    <w:p w:rsidR="00425149" w:rsidRDefault="00425149" w:rsidP="00876FA1">
      <w:pPr>
        <w:spacing w:after="0"/>
        <w:rPr>
          <w:lang w:val="en-US"/>
        </w:rPr>
      </w:pPr>
    </w:p>
    <w:p w:rsidR="00425149" w:rsidRDefault="00425149" w:rsidP="00876FA1">
      <w:pPr>
        <w:spacing w:after="0"/>
        <w:rPr>
          <w:lang w:val="en-US"/>
        </w:rPr>
      </w:pPr>
    </w:p>
    <w:p w:rsidR="00806110" w:rsidRDefault="00806110" w:rsidP="00876FA1">
      <w:pPr>
        <w:spacing w:after="0"/>
        <w:rPr>
          <w:lang w:val="en-US"/>
        </w:rPr>
      </w:pPr>
      <w:r>
        <w:rPr>
          <w:lang w:val="en-US"/>
        </w:rPr>
        <w:t xml:space="preserve">In general, there is a need to interface with IHO in general and especially during the transition phase from S-57 to S-100 to ensure a proper portrayal of </w:t>
      </w:r>
      <w:proofErr w:type="spellStart"/>
      <w:r>
        <w:rPr>
          <w:lang w:val="en-US"/>
        </w:rPr>
        <w:t>AtoN’s</w:t>
      </w:r>
      <w:proofErr w:type="spellEnd"/>
      <w:r>
        <w:rPr>
          <w:lang w:val="en-US"/>
        </w:rPr>
        <w:t xml:space="preserve">, MSP’s and various other services provided by IALA members. </w:t>
      </w:r>
    </w:p>
    <w:p w:rsidR="00806110" w:rsidRDefault="00806110" w:rsidP="00876FA1">
      <w:pPr>
        <w:spacing w:after="0"/>
        <w:rPr>
          <w:lang w:val="en-US"/>
        </w:rPr>
      </w:pPr>
    </w:p>
    <w:p w:rsidR="00806110" w:rsidRDefault="00806110" w:rsidP="00876FA1">
      <w:pPr>
        <w:spacing w:after="0"/>
        <w:rPr>
          <w:lang w:val="en-US"/>
        </w:rPr>
      </w:pPr>
    </w:p>
    <w:p w:rsidR="00425149" w:rsidRDefault="00425149" w:rsidP="00876FA1">
      <w:pPr>
        <w:spacing w:after="0"/>
        <w:rPr>
          <w:lang w:val="en-US"/>
        </w:rPr>
      </w:pPr>
    </w:p>
    <w:p w:rsidR="00425149" w:rsidRPr="00173033" w:rsidRDefault="00425149" w:rsidP="00876FA1">
      <w:pPr>
        <w:spacing w:after="0"/>
        <w:rPr>
          <w:b/>
          <w:color w:val="002060"/>
          <w:lang w:val="en-US"/>
        </w:rPr>
      </w:pPr>
      <w:r w:rsidRPr="00173033">
        <w:rPr>
          <w:b/>
          <w:color w:val="002060"/>
          <w:lang w:val="en-US"/>
        </w:rPr>
        <w:t>Best regards</w:t>
      </w:r>
    </w:p>
    <w:p w:rsidR="00425149" w:rsidRPr="00173033" w:rsidRDefault="00425149" w:rsidP="00876FA1">
      <w:pPr>
        <w:spacing w:after="0"/>
        <w:rPr>
          <w:b/>
          <w:color w:val="002060"/>
          <w:lang w:val="en-US"/>
        </w:rPr>
      </w:pPr>
      <w:proofErr w:type="spellStart"/>
      <w:r w:rsidRPr="00173033">
        <w:rPr>
          <w:b/>
          <w:color w:val="002060"/>
          <w:lang w:val="en-US"/>
        </w:rPr>
        <w:t>Guttorm</w:t>
      </w:r>
      <w:proofErr w:type="spellEnd"/>
      <w:r w:rsidRPr="00173033">
        <w:rPr>
          <w:b/>
          <w:color w:val="002060"/>
          <w:lang w:val="en-US"/>
        </w:rPr>
        <w:t xml:space="preserve"> </w:t>
      </w:r>
      <w:proofErr w:type="spellStart"/>
      <w:r w:rsidRPr="00173033">
        <w:rPr>
          <w:b/>
          <w:color w:val="002060"/>
          <w:lang w:val="en-US"/>
        </w:rPr>
        <w:t>Tomren</w:t>
      </w:r>
      <w:proofErr w:type="spellEnd"/>
    </w:p>
    <w:p w:rsidR="00876FA1" w:rsidRPr="00173033" w:rsidRDefault="00876FA1">
      <w:pPr>
        <w:rPr>
          <w:b/>
          <w:lang w:val="en-US"/>
        </w:rPr>
      </w:pPr>
    </w:p>
    <w:p w:rsidR="00876FA1" w:rsidRPr="00876FA1" w:rsidRDefault="00876FA1">
      <w:pPr>
        <w:rPr>
          <w:lang w:val="en-US"/>
        </w:rPr>
      </w:pPr>
    </w:p>
    <w:p w:rsidR="00876FA1" w:rsidRPr="00876FA1" w:rsidRDefault="00876FA1">
      <w:pPr>
        <w:rPr>
          <w:lang w:val="en-US"/>
        </w:rPr>
      </w:pPr>
    </w:p>
    <w:sectPr w:rsidR="00876FA1" w:rsidRPr="00876FA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0EB" w:rsidRDefault="009E20EB" w:rsidP="0074625E">
      <w:pPr>
        <w:spacing w:after="0" w:line="240" w:lineRule="auto"/>
      </w:pPr>
      <w:r>
        <w:separator/>
      </w:r>
    </w:p>
  </w:endnote>
  <w:endnote w:type="continuationSeparator" w:id="0">
    <w:p w:rsidR="009E20EB" w:rsidRDefault="009E20EB" w:rsidP="0074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0EB" w:rsidRDefault="009E20EB" w:rsidP="0074625E">
      <w:pPr>
        <w:spacing w:after="0" w:line="240" w:lineRule="auto"/>
      </w:pPr>
      <w:r>
        <w:separator/>
      </w:r>
    </w:p>
  </w:footnote>
  <w:footnote w:type="continuationSeparator" w:id="0">
    <w:p w:rsidR="009E20EB" w:rsidRDefault="009E20EB" w:rsidP="00746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25E" w:rsidRPr="0074625E" w:rsidRDefault="0074625E">
    <w:pPr>
      <w:pStyle w:val="Header"/>
      <w:rPr>
        <w:lang w:val="en-GB"/>
      </w:rPr>
    </w:pPr>
    <w:r>
      <w:rPr>
        <w:lang w:val="en-GB"/>
      </w:rPr>
      <w:tab/>
    </w:r>
    <w:r>
      <w:rPr>
        <w:lang w:val="en-GB"/>
      </w:rPr>
      <w:tab/>
      <w:t>ARM6-9.6.2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65C37"/>
    <w:multiLevelType w:val="hybridMultilevel"/>
    <w:tmpl w:val="9C807EA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0E7D2C"/>
    <w:multiLevelType w:val="hybridMultilevel"/>
    <w:tmpl w:val="A3BCD49E"/>
    <w:lvl w:ilvl="0" w:tplc="0414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FA1"/>
    <w:rsid w:val="00063859"/>
    <w:rsid w:val="00070CE1"/>
    <w:rsid w:val="00091DD3"/>
    <w:rsid w:val="000A0360"/>
    <w:rsid w:val="000F26DE"/>
    <w:rsid w:val="000F4681"/>
    <w:rsid w:val="00125E35"/>
    <w:rsid w:val="00150E65"/>
    <w:rsid w:val="0015773E"/>
    <w:rsid w:val="00173033"/>
    <w:rsid w:val="002B6DED"/>
    <w:rsid w:val="002C27F9"/>
    <w:rsid w:val="002D0665"/>
    <w:rsid w:val="0033432B"/>
    <w:rsid w:val="003D0491"/>
    <w:rsid w:val="003E003A"/>
    <w:rsid w:val="003E2780"/>
    <w:rsid w:val="00425149"/>
    <w:rsid w:val="0046070E"/>
    <w:rsid w:val="004620B2"/>
    <w:rsid w:val="004802C0"/>
    <w:rsid w:val="004858EE"/>
    <w:rsid w:val="004A7597"/>
    <w:rsid w:val="004E327F"/>
    <w:rsid w:val="004F1176"/>
    <w:rsid w:val="00524C38"/>
    <w:rsid w:val="005412FE"/>
    <w:rsid w:val="005751EA"/>
    <w:rsid w:val="005B72DF"/>
    <w:rsid w:val="00604A0A"/>
    <w:rsid w:val="006309B1"/>
    <w:rsid w:val="00637689"/>
    <w:rsid w:val="006634CC"/>
    <w:rsid w:val="007248EF"/>
    <w:rsid w:val="007452FB"/>
    <w:rsid w:val="0074625E"/>
    <w:rsid w:val="007953E8"/>
    <w:rsid w:val="00806110"/>
    <w:rsid w:val="00842E89"/>
    <w:rsid w:val="00876FA1"/>
    <w:rsid w:val="008D63A8"/>
    <w:rsid w:val="0092053E"/>
    <w:rsid w:val="00940555"/>
    <w:rsid w:val="009969A2"/>
    <w:rsid w:val="009B6F28"/>
    <w:rsid w:val="009E20EB"/>
    <w:rsid w:val="00A742F0"/>
    <w:rsid w:val="00A92AAD"/>
    <w:rsid w:val="00AA14FF"/>
    <w:rsid w:val="00AD71DD"/>
    <w:rsid w:val="00B057BB"/>
    <w:rsid w:val="00B22805"/>
    <w:rsid w:val="00B42A75"/>
    <w:rsid w:val="00B84754"/>
    <w:rsid w:val="00BE77B0"/>
    <w:rsid w:val="00C30C55"/>
    <w:rsid w:val="00C71B96"/>
    <w:rsid w:val="00CC5143"/>
    <w:rsid w:val="00CD00A6"/>
    <w:rsid w:val="00D112F2"/>
    <w:rsid w:val="00DC050C"/>
    <w:rsid w:val="00DC06AD"/>
    <w:rsid w:val="00E007F8"/>
    <w:rsid w:val="00E62725"/>
    <w:rsid w:val="00E72B5A"/>
    <w:rsid w:val="00E802B7"/>
    <w:rsid w:val="00E85900"/>
    <w:rsid w:val="00EA12E4"/>
    <w:rsid w:val="00EA25DF"/>
    <w:rsid w:val="00EB7EFC"/>
    <w:rsid w:val="00F173AB"/>
    <w:rsid w:val="00F4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8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25E"/>
  </w:style>
  <w:style w:type="paragraph" w:styleId="Footer">
    <w:name w:val="footer"/>
    <w:basedOn w:val="Normal"/>
    <w:link w:val="FooterChar"/>
    <w:uiPriority w:val="99"/>
    <w:unhideWhenUsed/>
    <w:rsid w:val="00746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8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25E"/>
  </w:style>
  <w:style w:type="paragraph" w:styleId="Footer">
    <w:name w:val="footer"/>
    <w:basedOn w:val="Normal"/>
    <w:link w:val="FooterChar"/>
    <w:uiPriority w:val="99"/>
    <w:unhideWhenUsed/>
    <w:rsid w:val="00746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A69AC-A912-4D68-A851-75C9018B0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Kystverket</Company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Tomren, Guttorm</dc:creator>
  <cp:keywords/>
  <dc:description/>
  <cp:lastModifiedBy>Wim</cp:lastModifiedBy>
  <cp:revision>16</cp:revision>
  <dcterms:created xsi:type="dcterms:W3CDTF">2017-03-27T15:57:00Z</dcterms:created>
  <dcterms:modified xsi:type="dcterms:W3CDTF">2017-04-07T12:24:00Z</dcterms:modified>
</cp:coreProperties>
</file>